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X701360674f00c4e24e7a78c083d0bf2b5294fff"/>
    <w:p>
      <w:pPr>
        <w:pStyle w:val="Heading2"/>
      </w:pPr>
      <w:r>
        <w:t xml:space="preserve">Parecer Técnico de Engenheiro – Avaliação das Obras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Empresa de Arrendamento Comercial, Lda. (NIF 514 321 987)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Sr. João da Silva (NIF 235 674 112)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 Ana Martins (OA 12345) – Dr. Luís Pereira (OA 67890)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</w:t>
      </w:r>
    </w:p>
    <w:p>
      <w:r>
        <w:pict>
          <v:rect style="width:0;height:1.5pt" o:hralign="center" o:hrstd="t" o:hr="t"/>
        </w:pict>
      </w:r>
    </w:p>
    <w:bookmarkStart w:id="9" w:name="identificação-do-perito"/>
    <w:p>
      <w:pPr>
        <w:pStyle w:val="Heading3"/>
      </w:pPr>
      <w:r>
        <w:t xml:space="preserve">1. Identificação do Perito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Engenheiro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Nº de Registro (CREA)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Contacto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Eng.º</w:t>
            </w:r>
            <w:r>
              <w:t xml:space="preserve"> </w:t>
            </w:r>
            <w:r>
              <w:rPr>
                <w:b/>
                <w:bCs/>
              </w:rPr>
              <w:t xml:space="preserve">Pedro Miguel Alves Santos</w:t>
            </w:r>
          </w:p>
        </w:tc>
        <w:tc>
          <w:tcPr/>
          <w:p>
            <w:pPr>
              <w:pStyle w:val="Compact"/>
            </w:pPr>
            <w:r>
              <w:t xml:space="preserve">Engenharia Civil – Especialista em Avaliação de Obras</w:t>
            </w:r>
          </w:p>
        </w:tc>
        <w:tc>
          <w:tcPr/>
          <w:p>
            <w:pPr>
              <w:pStyle w:val="Compact"/>
            </w:pPr>
            <w:r>
              <w:t xml:space="preserve">123456789</w:t>
            </w:r>
          </w:p>
        </w:tc>
        <w:tc>
          <w:tcPr/>
          <w:p>
            <w:pPr>
              <w:pStyle w:val="Compact"/>
            </w:pPr>
            <w:r>
              <w:t xml:space="preserve">Av. das Descobertas, 45 – 2.º Esq., 1050‑120 Lisboa</w:t>
            </w:r>
          </w:p>
        </w:tc>
        <w:tc>
          <w:tcPr/>
          <w:p>
            <w:pPr>
              <w:pStyle w:val="Compact"/>
            </w:pPr>
            <w:r>
              <w:t xml:space="preserve">tel. +351 213 456 789 – pedro.alves@engenharia.pt</w:t>
            </w:r>
          </w:p>
        </w:tc>
      </w:tr>
    </w:tbl>
    <w:p>
      <w:pPr>
        <w:pStyle w:val="BodyText"/>
      </w:pPr>
      <w:r>
        <w:t xml:space="preserve">O perito declara, sob compromisso de honra, estar devidamente habilitado e possuir experiência comprovada na avaliação de obras em edifícios comerciais, bem como estar ciente das disposições do Código Civil e do Código de Processo Civil aplicáveis ao presente caso.</w:t>
      </w:r>
    </w:p>
    <w:p>
      <w:r>
        <w:pict>
          <v:rect style="width:0;height:1.5pt" o:hralign="center" o:hrstd="t" o:hr="t"/>
        </w:pict>
      </w:r>
    </w:p>
    <w:bookmarkEnd w:id="9"/>
    <w:bookmarkStart w:id="10" w:name="objeto-do-parecer"/>
    <w:p>
      <w:pPr>
        <w:pStyle w:val="Heading3"/>
      </w:pPr>
      <w:r>
        <w:t xml:space="preserve">2. Objeto do Parecer</w:t>
      </w:r>
    </w:p>
    <w:p>
      <w:pPr>
        <w:pStyle w:val="FirstParagraph"/>
      </w:pPr>
      <w:r>
        <w:t xml:space="preserve">O presente parecer tem por objetivo:</w:t>
      </w:r>
    </w:p>
    <w:p>
      <w:pPr>
        <w:pStyle w:val="Compact"/>
        <w:numPr>
          <w:ilvl w:val="0"/>
          <w:numId w:val="1001"/>
        </w:numPr>
      </w:pPr>
      <w:r>
        <w:t xml:space="preserve">Avaliar, de forma técnica e detalhada, as obras realizadas no imóvel sito na</w:t>
      </w:r>
      <w:r>
        <w:t xml:space="preserve"> </w:t>
      </w:r>
      <w:r>
        <w:rPr>
          <w:b/>
          <w:bCs/>
        </w:rPr>
        <w:t xml:space="preserve">Rua da Boavista, nº 120, 3.º‑F, 1250‑067 Lisboa</w:t>
      </w:r>
      <w:r>
        <w:t xml:space="preserve">, arrendado pela Empresa de Arrendamento Comercial, Lda. ao Sr. João da Silva, com base no contrato de arrendamento comercial datado de 10 de janeiro de 2018;</w:t>
      </w:r>
    </w:p>
    <w:p>
      <w:pPr>
        <w:pStyle w:val="Compact"/>
        <w:numPr>
          <w:ilvl w:val="0"/>
          <w:numId w:val="1001"/>
        </w:numPr>
      </w:pPr>
      <w:r>
        <w:t xml:space="preserve">Verificar a conformidade das referidas obras com as cláusulas contratuais, nomeadamente a obrigação de obter autorização prévia por escrito do senhorio antes de qualquer intervenção estrutural ou de remodelação de grande monta;</w:t>
      </w:r>
    </w:p>
    <w:p>
      <w:pPr>
        <w:pStyle w:val="Compact"/>
        <w:numPr>
          <w:ilvl w:val="0"/>
          <w:numId w:val="1001"/>
        </w:numPr>
      </w:pPr>
      <w:r>
        <w:t xml:space="preserve">Determinar o valor dos prejuízos materiais e das obras executadas sem autorização, bem como os custos de restauro necessários para devolver o imóvel ao estado original, conforme previsto no contrato.</w:t>
      </w:r>
    </w:p>
    <w:p>
      <w:r>
        <w:pict>
          <v:rect style="width:0;height:1.5pt" o:hralign="center" o:hrstd="t" o:hr="t"/>
        </w:pict>
      </w:r>
    </w:p>
    <w:bookmarkEnd w:id="10"/>
    <w:bookmarkStart w:id="11" w:name="metodologia"/>
    <w:p>
      <w:pPr>
        <w:pStyle w:val="Heading3"/>
      </w:pPr>
      <w:r>
        <w:t xml:space="preserve">3. Metodologia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Inspeção in‑situ</w:t>
      </w:r>
      <w:r>
        <w:t xml:space="preserve"> </w:t>
      </w:r>
      <w:r>
        <w:t xml:space="preserve">– Visita ao imóvel em duas ocasiões (02 de fevereiro de 2024 e 10 de fevereiro de 2024), com levantamento fotográfico e medições topográficas;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Análise documental</w:t>
      </w:r>
      <w:r>
        <w:t xml:space="preserve"> </w:t>
      </w:r>
      <w:r>
        <w:t xml:space="preserve">– Exame dos projetos apresentados pelo réu (não reconhecidos pelo senhorio), das licenças de construção (não emitidas) e dos recibos de pagamento das obras;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Comparação com o contrato de arrendamento</w:t>
      </w:r>
      <w:r>
        <w:t xml:space="preserve"> </w:t>
      </w:r>
      <w:r>
        <w:t xml:space="preserve">– Verificação das cláusulas contratuais relativas a obras e modificações (cláusulas 7.º a 9.º);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Cálculo de custos</w:t>
      </w:r>
      <w:r>
        <w:t xml:space="preserve"> </w:t>
      </w:r>
      <w:r>
        <w:t xml:space="preserve">– Orçamentação baseada em preços de mercado (Tabela de Preços de Obras Públicas – 2023) e orçamentos de empresas de construção devidamente credenciadas;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Parecer de compatibilidade</w:t>
      </w:r>
      <w:r>
        <w:t xml:space="preserve"> </w:t>
      </w:r>
      <w:r>
        <w:t xml:space="preserve">– Avaliação da compatibilidade das intervenções com a finalidade comercial do imóvel (loja de vestuário) e com as normas de segurança e acessibilidade.</w:t>
      </w:r>
    </w:p>
    <w:p>
      <w:r>
        <w:pict>
          <v:rect style="width:0;height:1.5pt" o:hralign="center" o:hrstd="t" o:hr="t"/>
        </w:pict>
      </w:r>
    </w:p>
    <w:bookmarkEnd w:id="11"/>
    <w:bookmarkStart w:id="12" w:name="descrição-das-obras-realizadas"/>
    <w:p>
      <w:pPr>
        <w:pStyle w:val="Heading3"/>
      </w:pPr>
      <w:r>
        <w:t xml:space="preserve">4. Descrição das Obras Realizadas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 da Intervenção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Execução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Responsável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Demolição parcial da parede divisória entre a zona de caixa e o armazém (aprox. 12 m²)</w:t>
            </w:r>
          </w:p>
        </w:tc>
        <w:tc>
          <w:tcPr/>
          <w:p>
            <w:pPr>
              <w:pStyle w:val="Compact"/>
            </w:pPr>
            <w:r>
              <w:t xml:space="preserve">12‑dez‑2023 a 18‑dez‑2023</w:t>
            </w:r>
          </w:p>
        </w:tc>
        <w:tc>
          <w:tcPr/>
          <w:p>
            <w:pPr>
              <w:pStyle w:val="Compact"/>
            </w:pPr>
            <w:r>
              <w:t xml:space="preserve">Empresa “Construções Silva &amp; Filhos, Lda.” (NIF 502 123 456)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Instalação de nova estrutura metálica para suporte de prateleiras de exposição (30 m²)</w:t>
            </w:r>
          </w:p>
        </w:tc>
        <w:tc>
          <w:tcPr/>
          <w:p>
            <w:pPr>
              <w:pStyle w:val="Compact"/>
            </w:pPr>
            <w:r>
              <w:t xml:space="preserve">20‑dez‑2023 a 02‑jan‑2024</w:t>
            </w:r>
          </w:p>
        </w:tc>
        <w:tc>
          <w:tcPr/>
          <w:p>
            <w:pPr>
              <w:pStyle w:val="Compact"/>
            </w:pPr>
            <w:r>
              <w:t xml:space="preserve">Eng.º Pedro Alves (consultor)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Alteração da instalação elétrica (passagem de cabos, nova caixa de distribuição)</w:t>
            </w:r>
          </w:p>
        </w:tc>
        <w:tc>
          <w:tcPr/>
          <w:p>
            <w:pPr>
              <w:pStyle w:val="Compact"/>
            </w:pPr>
            <w:r>
              <w:t xml:space="preserve">05‑jan‑2024 a 12‑jan‑2024</w:t>
            </w:r>
          </w:p>
        </w:tc>
        <w:tc>
          <w:tcPr/>
          <w:p>
            <w:pPr>
              <w:pStyle w:val="Compact"/>
            </w:pPr>
            <w:r>
              <w:t xml:space="preserve">Eletricidade Lisboa, S.A. (NIF 504 987 321)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Substituição de revestimento do piso por placas de PVC de alta resistência</w:t>
            </w:r>
          </w:p>
        </w:tc>
        <w:tc>
          <w:tcPr/>
          <w:p>
            <w:pPr>
              <w:pStyle w:val="Compact"/>
            </w:pPr>
            <w:r>
              <w:t xml:space="preserve">15‑jan‑2024 a 22‑jan‑2024</w:t>
            </w:r>
          </w:p>
        </w:tc>
        <w:tc>
          <w:tcPr/>
          <w:p>
            <w:pPr>
              <w:pStyle w:val="Compact"/>
            </w:pPr>
            <w:r>
              <w:t xml:space="preserve">Pavimentos &amp; Revestimentos, Lda. (NIF 507 654 321)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Criação de um “open space” ao eliminar a parede de suporte de carga (sem reforço estrutural)</w:t>
            </w:r>
          </w:p>
        </w:tc>
        <w:tc>
          <w:tcPr/>
          <w:p>
            <w:pPr>
              <w:pStyle w:val="Compact"/>
            </w:pPr>
            <w:r>
              <w:t xml:space="preserve">25‑jan‑2024 a 03‑fev‑2024</w:t>
            </w:r>
          </w:p>
        </w:tc>
        <w:tc>
          <w:tcPr/>
          <w:p>
            <w:pPr>
              <w:pStyle w:val="Compact"/>
            </w:pPr>
            <w:r>
              <w:t xml:space="preserve">Empresa “Obras Rápidas, Lda.” (NIF 508 321 654)</w:t>
            </w:r>
          </w:p>
        </w:tc>
      </w:tr>
    </w:tbl>
    <w:p>
      <w:pPr>
        <w:pStyle w:val="BodyText"/>
      </w:pPr>
      <w:r>
        <w:rPr>
          <w:b/>
          <w:bCs/>
        </w:rPr>
        <w:t xml:space="preserve">Observações:</w:t>
      </w:r>
      <w:r>
        <w:br/>
      </w:r>
      <w:r>
        <w:t xml:space="preserve">* Não foram apresentadas licenças de obra nem comunicação prévia ao senhorio.</w:t>
      </w:r>
      <w:r>
        <w:br/>
      </w:r>
      <w:r>
        <w:t xml:space="preserve">* As intervenções 1, 3 e 5 alteraram a estrutura e a segurança do edifício, violando a cláusula 8.º do contrato, que exige autorização escrita para obras que modifiquem a configuração interna ou a estrutura de suporte.</w:t>
      </w:r>
      <w:r>
        <w:br/>
      </w:r>
      <w:r>
        <w:t xml:space="preserve">* A demolição da parede de suporte (intervenção 5) compromete a estabilidade do pavimento superior, conforme verificado na inspeção estrutural.</w:t>
      </w:r>
    </w:p>
    <w:p>
      <w:r>
        <w:pict>
          <v:rect style="width:0;height:1.5pt" o:hralign="center" o:hrstd="t" o:hr="t"/>
        </w:pict>
      </w:r>
    </w:p>
    <w:bookmarkEnd w:id="12"/>
    <w:bookmarkStart w:id="17" w:name="avaliação-técnica-e-custos"/>
    <w:p>
      <w:pPr>
        <w:pStyle w:val="Heading3"/>
      </w:pPr>
      <w:r>
        <w:t xml:space="preserve">5. Avaliação Técnica e Custos</w:t>
      </w:r>
    </w:p>
    <w:bookmarkStart w:id="13" w:name="conformidade-com-o-contrato"/>
    <w:p>
      <w:pPr>
        <w:pStyle w:val="Heading4"/>
      </w:pPr>
      <w:r>
        <w:t xml:space="preserve">5.1. Conformidade com o Contrato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Cláusula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Requisito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Situação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7.º</w:t>
            </w:r>
          </w:p>
        </w:tc>
        <w:tc>
          <w:tcPr/>
          <w:p>
            <w:pPr>
              <w:pStyle w:val="Compact"/>
            </w:pPr>
            <w:r>
              <w:t xml:space="preserve">Manutenção do imóvel em bom estado de conservação</w:t>
            </w:r>
          </w:p>
        </w:tc>
        <w:tc>
          <w:tcPr/>
          <w:p>
            <w:pPr>
              <w:pStyle w:val="Compact"/>
            </w:pPr>
            <w:r>
              <w:t xml:space="preserve">Cumprido parcialmente – obras de manutenção não autorizadas.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8.º</w:t>
            </w:r>
          </w:p>
        </w:tc>
        <w:tc>
          <w:tcPr/>
          <w:p>
            <w:pPr>
              <w:pStyle w:val="Compact"/>
            </w:pPr>
            <w:r>
              <w:t xml:space="preserve">Necessidade de autorização escrita para obras que alterem a estrutura ou a divisão interna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Violação</w:t>
            </w:r>
            <w:r>
              <w:t xml:space="preserve"> </w:t>
            </w:r>
            <w:r>
              <w:t xml:space="preserve">– obras 1, 3, 5 realizadas sem consentimento.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9.º</w:t>
            </w:r>
          </w:p>
        </w:tc>
        <w:tc>
          <w:tcPr/>
          <w:p>
            <w:pPr>
              <w:pStyle w:val="Compact"/>
            </w:pPr>
            <w:r>
              <w:t xml:space="preserve">Proibição de obras que comprometam a segurança ou a funcionalidade do prédio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Violação</w:t>
            </w:r>
            <w:r>
              <w:t xml:space="preserve"> </w:t>
            </w:r>
            <w:r>
              <w:t xml:space="preserve">– remoção da parede de suporte sem reforço.</w:t>
            </w:r>
          </w:p>
        </w:tc>
      </w:tr>
    </w:tbl>
    <w:bookmarkEnd w:id="13"/>
    <w:bookmarkStart w:id="14" w:name="X4e7f37655ae2ad9b017f677b3bbdb28ac1a8be4"/>
    <w:p>
      <w:pPr>
        <w:pStyle w:val="Heading4"/>
      </w:pPr>
      <w:r>
        <w:t xml:space="preserve">5.2. Custo das Obras Executadas (sem autorização)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Item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Custo Unitário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Quantidade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Subtotal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Demolição parcial da parede (m²)</w:t>
            </w:r>
          </w:p>
        </w:tc>
        <w:tc>
          <w:tcPr/>
          <w:p>
            <w:pPr>
              <w:pStyle w:val="Compact"/>
            </w:pPr>
            <w:r>
              <w:t xml:space="preserve">45,00</w:t>
            </w:r>
          </w:p>
        </w:tc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540,00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Estrutura metálica (kg)</w:t>
            </w:r>
          </w:p>
        </w:tc>
        <w:tc>
          <w:tcPr/>
          <w:p>
            <w:pPr>
              <w:pStyle w:val="Compact"/>
            </w:pPr>
            <w:r>
              <w:t xml:space="preserve">12,00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  <w:tc>
          <w:tcPr/>
          <w:p>
            <w:pPr>
              <w:pStyle w:val="Compact"/>
            </w:pPr>
            <w:r>
              <w:t xml:space="preserve">3 000,00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Alteração da instalação elétrica (€/ponto)</w:t>
            </w:r>
          </w:p>
        </w:tc>
        <w:tc>
          <w:tcPr/>
          <w:p>
            <w:pPr>
              <w:pStyle w:val="Compact"/>
            </w:pPr>
            <w:r>
              <w:t xml:space="preserve">80,00</w:t>
            </w:r>
          </w:p>
        </w:tc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Revestimento em PVC (€/m²)</w:t>
            </w:r>
          </w:p>
        </w:tc>
        <w:tc>
          <w:tcPr/>
          <w:p>
            <w:pPr>
              <w:pStyle w:val="Compact"/>
            </w:pPr>
            <w:r>
              <w:t xml:space="preserve">30,00</w:t>
            </w:r>
          </w:p>
        </w:tc>
        <w:tc>
          <w:tcPr/>
          <w:p>
            <w:pPr>
              <w:pStyle w:val="Compact"/>
            </w:pPr>
            <w:r>
              <w:t xml:space="preserve">150</w:t>
            </w:r>
          </w:p>
        </w:tc>
        <w:tc>
          <w:tcPr/>
          <w:p>
            <w:pPr>
              <w:pStyle w:val="Compact"/>
            </w:pPr>
            <w:r>
              <w:t xml:space="preserve">4 500,00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Remoção da parede de suporte (m²)</w:t>
            </w:r>
          </w:p>
        </w:tc>
        <w:tc>
          <w:tcPr/>
          <w:p>
            <w:pPr>
              <w:pStyle w:val="Compact"/>
            </w:pPr>
            <w:r>
              <w:t xml:space="preserve">70,00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700,00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9 940,00</w:t>
            </w:r>
          </w:p>
        </w:tc>
      </w:tr>
    </w:tbl>
    <w:bookmarkEnd w:id="14"/>
    <w:bookmarkStart w:id="15" w:name="custo-de-restauro-ao-estado-original"/>
    <w:p>
      <w:pPr>
        <w:pStyle w:val="Heading4"/>
      </w:pPr>
      <w:r>
        <w:t xml:space="preserve">5.3. Custo de Restauro ao Estado Original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Item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Custo Unitário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Quantidade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Subtotal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</w:t>
            </w:r>
          </w:p>
        </w:tc>
        <w:tc>
          <w:tcPr/>
          <w:p>
            <w:pPr>
              <w:pStyle w:val="Compact"/>
            </w:pPr>
            <w:r>
              <w:t xml:space="preserve">Reconstrução da parede de suporte (m²)</w:t>
            </w:r>
          </w:p>
        </w:tc>
        <w:tc>
          <w:tcPr/>
          <w:p>
            <w:pPr>
              <w:pStyle w:val="Compact"/>
            </w:pPr>
            <w:r>
              <w:t xml:space="preserve">120,00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1 200,00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B</w:t>
            </w:r>
          </w:p>
        </w:tc>
        <w:tc>
          <w:tcPr/>
          <w:p>
            <w:pPr>
              <w:pStyle w:val="Compact"/>
            </w:pPr>
            <w:r>
              <w:t xml:space="preserve">Reinstalação da instalação elétrica original</w:t>
            </w:r>
          </w:p>
        </w:tc>
        <w:tc>
          <w:tcPr/>
          <w:p>
            <w:pPr>
              <w:pStyle w:val="Compact"/>
            </w:pPr>
            <w:r>
              <w:t xml:space="preserve">85,00</w:t>
            </w:r>
          </w:p>
        </w:tc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1 275,00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C</w:t>
            </w:r>
          </w:p>
        </w:tc>
        <w:tc>
          <w:tcPr/>
          <w:p>
            <w:pPr>
              <w:pStyle w:val="Compact"/>
            </w:pPr>
            <w:r>
              <w:t xml:space="preserve">Reposição do revestimento original (linóleo)</w:t>
            </w:r>
          </w:p>
        </w:tc>
        <w:tc>
          <w:tcPr/>
          <w:p>
            <w:pPr>
              <w:pStyle w:val="Compact"/>
            </w:pPr>
            <w:r>
              <w:t xml:space="preserve">28,00</w:t>
            </w:r>
          </w:p>
        </w:tc>
        <w:tc>
          <w:tcPr/>
          <w:p>
            <w:pPr>
              <w:pStyle w:val="Compact"/>
            </w:pPr>
            <w:r>
              <w:t xml:space="preserve">150</w:t>
            </w:r>
          </w:p>
        </w:tc>
        <w:tc>
          <w:tcPr/>
          <w:p>
            <w:pPr>
              <w:pStyle w:val="Compact"/>
            </w:pPr>
            <w:r>
              <w:t xml:space="preserve">4 200,00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</w:t>
            </w:r>
          </w:p>
        </w:tc>
        <w:tc>
          <w:tcPr/>
          <w:p>
            <w:pPr>
              <w:pStyle w:val="Compact"/>
            </w:pPr>
            <w:r>
              <w:t xml:space="preserve">Reversão da estrutura metálica (remover e reinstalar suportes)</w:t>
            </w:r>
          </w:p>
        </w:tc>
        <w:tc>
          <w:tcPr/>
          <w:p>
            <w:pPr>
              <w:pStyle w:val="Compact"/>
            </w:pPr>
            <w:r>
              <w:t xml:space="preserve">15,00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  <w:tc>
          <w:tcPr/>
          <w:p>
            <w:pPr>
              <w:pStyle w:val="Compact"/>
            </w:pPr>
            <w:r>
              <w:t xml:space="preserve">3 750,00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10 425,00</w:t>
            </w:r>
          </w:p>
        </w:tc>
      </w:tr>
    </w:tbl>
    <w:bookmarkEnd w:id="15"/>
    <w:bookmarkStart w:id="16" w:name="juros-moratórios-e-atualização-monetária"/>
    <w:p>
      <w:pPr>
        <w:pStyle w:val="Heading4"/>
      </w:pPr>
      <w:r>
        <w:t xml:space="preserve">5.4. Juros Moratórios e Atualização Monetária</w:t>
      </w:r>
    </w:p>
    <w:p>
      <w:pPr>
        <w:pStyle w:val="FirstParagraph"/>
      </w:pPr>
      <w:r>
        <w:t xml:space="preserve">Considerando a data de conclusão das obras (03 de fevereiro de 2024) e a data de emissão deste parecer (15 de março de 2024), aplicam‑se juros moratórios à taxa legal de 4 % ao ano, capitalizados mensalmente, sobre o total de</w:t>
      </w:r>
      <w:r>
        <w:t xml:space="preserve"> </w:t>
      </w:r>
      <w:r>
        <w:rPr>
          <w:b/>
          <w:bCs/>
        </w:rPr>
        <w:t xml:space="preserve">€ 9 940,00</w:t>
      </w:r>
      <w:r>
        <w:t xml:space="preserve">:</w:t>
      </w:r>
    </w:p>
    <w:p>
      <w:pPr>
        <w:pStyle w:val="BodyText"/>
      </w:pPr>
      <w:r>
        <w:t xml:space="preserve">[</w:t>
      </w:r>
      <w:r>
        <w:t xml:space="preserve"> </w:t>
      </w:r>
      <w:r>
        <w:t xml:space="preserve">J = 9 940,00</w:t>
      </w:r>
      <w:r>
        <w:t xml:space="preserve"> </w:t>
      </w:r>
      <w:r>
        <w:t xml:space="preserve"> </w:t>
      </w:r>
      <w:r>
        <w:t xml:space="preserve"> </w:t>
      </w:r>
      <w:r>
        <w:t xml:space="preserve">= € 33,13</w:t>
      </w:r>
      <w:r>
        <w:t xml:space="preserve"> </w:t>
      </w:r>
      <w:r>
        <w:t xml:space="preserve">]</w:t>
      </w:r>
    </w:p>
    <w:p>
      <w:pPr>
        <w:pStyle w:val="BodyText"/>
      </w:pPr>
      <w:r>
        <w:t xml:space="preserve">Valor total a cobrar ao réu:</w:t>
      </w:r>
      <w:r>
        <w:t xml:space="preserve"> </w:t>
      </w:r>
      <w:r>
        <w:rPr>
          <w:b/>
          <w:bCs/>
        </w:rPr>
        <w:t xml:space="preserve">€ 9 973,13</w:t>
      </w:r>
      <w:r>
        <w:t xml:space="preserve"> </w:t>
      </w:r>
      <w:r>
        <w:t xml:space="preserve">(obras) +</w:t>
      </w:r>
      <w:r>
        <w:t xml:space="preserve"> </w:t>
      </w:r>
      <w:r>
        <w:rPr>
          <w:b/>
          <w:bCs/>
        </w:rPr>
        <w:t xml:space="preserve">€ 10 425,00</w:t>
      </w:r>
      <w:r>
        <w:t xml:space="preserve"> </w:t>
      </w:r>
      <w:r>
        <w:t xml:space="preserve">(restauro) =</w:t>
      </w:r>
      <w:r>
        <w:t xml:space="preserve"> </w:t>
      </w:r>
      <w:r>
        <w:rPr>
          <w:b/>
          <w:bCs/>
        </w:rPr>
        <w:t xml:space="preserve">€ 20 398,13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6"/>
    <w:bookmarkEnd w:id="17"/>
    <w:bookmarkStart w:id="18" w:name="conclusão"/>
    <w:p>
      <w:pPr>
        <w:pStyle w:val="Heading3"/>
      </w:pPr>
      <w:r>
        <w:t xml:space="preserve">6. Conclusão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Incompatibilidade Contratual</w:t>
      </w:r>
      <w:r>
        <w:t xml:space="preserve"> </w:t>
      </w:r>
      <w:r>
        <w:t xml:space="preserve">– As obras descritas (1 a 5) foram executadas sem a prévia autorização escrita exigida pelo contrato de arrendamento, constituindo violação das cláusulas 8.º e 9.º, bem como do princípio da boa‑fé contractual previsto no Código Civil (artigos 762.º e 763.º).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Prejuízo Material</w:t>
      </w:r>
      <w:r>
        <w:t xml:space="preserve"> </w:t>
      </w:r>
      <w:r>
        <w:t xml:space="preserve">– O réu deve ser responsabilizado pelo custo total das obras realizadas sem autorização (</w:t>
      </w:r>
      <w:r>
        <w:rPr>
          <w:b/>
          <w:bCs/>
        </w:rPr>
        <w:t xml:space="preserve">€ 9 973,13</w:t>
      </w:r>
      <w:r>
        <w:t xml:space="preserve">, incluindo juros) e pelo custo de restauro ao estado original (</w:t>
      </w:r>
      <w:r>
        <w:rPr>
          <w:b/>
          <w:bCs/>
        </w:rPr>
        <w:t xml:space="preserve">€ 10 425,00</w:t>
      </w:r>
      <w:r>
        <w:t xml:space="preserve">).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Risco de Segurança</w:t>
      </w:r>
      <w:r>
        <w:t xml:space="preserve"> </w:t>
      </w:r>
      <w:r>
        <w:t xml:space="preserve">– A remoção da parede de suporte compromete a estabilidade do edifício, podendo gerar responsabilidade civil por risco de colapso, o que reforça a necessidade de restituição integral do imóvel.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Recomendação</w:t>
      </w:r>
      <w:r>
        <w:t xml:space="preserve"> </w:t>
      </w:r>
      <w:r>
        <w:t xml:space="preserve">– Recomenda‑se que o juiz, ao deliberar sobre a ação de despejo, condene o réu ao pagamento do valor total de</w:t>
      </w:r>
      <w:r>
        <w:t xml:space="preserve"> </w:t>
      </w:r>
      <w:r>
        <w:rPr>
          <w:b/>
          <w:bCs/>
        </w:rPr>
        <w:t xml:space="preserve">€ 20 398,13</w:t>
      </w:r>
      <w:r>
        <w:t xml:space="preserve">, acrescido de custas processuais e honorários de peritos, bem como a ordem de despejo imediato, nos termos do art.º 1087.º do Código Civil, pela caducidade do contrato por incumprimento das obrigações contratuais.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Eng.º Pedro Miguel Alves Santos</w:t>
      </w:r>
      <w:r>
        <w:br/>
      </w:r>
      <w:r>
        <w:t xml:space="preserve">CREA 123456789</w:t>
      </w:r>
      <w:r>
        <w:br/>
      </w:r>
      <w:r>
        <w:t xml:space="preserve">Engenheiro Civil – Perito Judicial</w:t>
      </w:r>
    </w:p>
    <w:p>
      <w:pPr>
        <w:pStyle w:val="BodyText"/>
      </w:pPr>
      <w:r>
        <w:rPr>
          <w:i/>
          <w:iCs/>
        </w:rPr>
        <w:t xml:space="preserve">Anexos:</w:t>
      </w:r>
      <w:r>
        <w:br/>
      </w:r>
      <w:r>
        <w:t xml:space="preserve">1. Fotografias das intervenções (páginas 2‑7).</w:t>
      </w:r>
      <w:r>
        <w:br/>
      </w:r>
      <w:r>
        <w:t xml:space="preserve">2. Cópias dos orçamentos das empresas executoras.</w:t>
      </w:r>
      <w:r>
        <w:br/>
      </w:r>
      <w:r>
        <w:t xml:space="preserve">3. Planta baixa do imóvel com indicação das áreas alteradas.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